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39" w:rsidRPr="00A50212" w:rsidRDefault="0065229D" w:rsidP="00A50212">
      <w:pPr>
        <w:spacing w:after="0" w:line="240" w:lineRule="auto"/>
        <w:jc w:val="center"/>
        <w:rPr>
          <w:rFonts w:eastAsia="Times New Roman" w:cstheme="minorHAnsi"/>
          <w:b/>
          <w:bCs/>
          <w:color w:val="1F4E79" w:themeColor="accent1" w:themeShade="80"/>
          <w:sz w:val="32"/>
          <w:u w:val="single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z w:val="32"/>
          <w:u w:val="single"/>
        </w:rPr>
        <w:t>T</w:t>
      </w:r>
      <w:r w:rsidR="00060F39" w:rsidRPr="00A50212">
        <w:rPr>
          <w:rFonts w:eastAsia="Times New Roman" w:cstheme="minorHAnsi"/>
          <w:b/>
          <w:bCs/>
          <w:color w:val="1F4E79" w:themeColor="accent1" w:themeShade="80"/>
          <w:sz w:val="32"/>
          <w:u w:val="single"/>
        </w:rPr>
        <w:t>erms of Reference for Provision of External Audit Services</w:t>
      </w:r>
    </w:p>
    <w:p w:rsidR="004B57E1" w:rsidRPr="007119DE" w:rsidRDefault="004B57E1" w:rsidP="00A50212">
      <w:pPr>
        <w:spacing w:after="0" w:line="240" w:lineRule="auto"/>
        <w:jc w:val="center"/>
        <w:rPr>
          <w:rFonts w:eastAsia="Times New Roman" w:cstheme="minorHAnsi"/>
          <w:b/>
          <w:bCs/>
          <w:color w:val="1F4E79" w:themeColor="accent1" w:themeShade="80"/>
          <w:sz w:val="24"/>
        </w:rPr>
      </w:pPr>
      <w:r w:rsidRPr="007119DE">
        <w:rPr>
          <w:rFonts w:eastAsia="Times New Roman" w:cstheme="minorHAnsi"/>
          <w:b/>
          <w:bCs/>
          <w:color w:val="1F4E79" w:themeColor="accent1" w:themeShade="80"/>
          <w:sz w:val="24"/>
        </w:rPr>
        <w:t>Sudan FY 2020-21</w:t>
      </w:r>
      <w:r w:rsidR="007119DE" w:rsidRPr="007119DE">
        <w:rPr>
          <w:rFonts w:eastAsia="Times New Roman" w:cstheme="minorHAnsi"/>
          <w:b/>
          <w:bCs/>
          <w:color w:val="1F4E79" w:themeColor="accent1" w:themeShade="80"/>
          <w:sz w:val="24"/>
        </w:rPr>
        <w:t xml:space="preserve"> (with possible extension of three years)</w:t>
      </w:r>
    </w:p>
    <w:p w:rsidR="00A50212" w:rsidRPr="00A50212" w:rsidRDefault="00A50212" w:rsidP="00A50212">
      <w:pPr>
        <w:spacing w:after="0" w:line="240" w:lineRule="auto"/>
        <w:jc w:val="center"/>
        <w:rPr>
          <w:rFonts w:eastAsia="Times New Roman" w:cstheme="minorHAnsi"/>
          <w:b/>
          <w:bCs/>
          <w:color w:val="1F4E79" w:themeColor="accent1" w:themeShade="80"/>
          <w:sz w:val="32"/>
          <w:u w:val="single"/>
        </w:rPr>
      </w:pPr>
    </w:p>
    <w:p w:rsidR="00060F39" w:rsidRPr="004B57E1" w:rsidRDefault="00060F39" w:rsidP="00A50212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u w:val="single"/>
        </w:rPr>
      </w:pPr>
      <w:r w:rsidRPr="00A50212">
        <w:rPr>
          <w:b/>
          <w:color w:val="1F4E79" w:themeColor="accent1" w:themeShade="80"/>
          <w:u w:val="single"/>
          <w:shd w:val="clear" w:color="auto" w:fill="FFFFFF"/>
        </w:rPr>
        <w:t>About Relief International (RI)</w:t>
      </w:r>
    </w:p>
    <w:p w:rsidR="00060F39" w:rsidRPr="004B57E1" w:rsidRDefault="00060F39" w:rsidP="00A50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 xml:space="preserve">Relief International specializes in humanitarian and development programs that benefit people in severe distress. As a registered nonprofit in the US, UK, Belgium, and now France, our work targets fragile settings that suffer from recurrent manmade or natural crises that impede human development. </w:t>
      </w:r>
    </w:p>
    <w:p w:rsidR="00060F39" w:rsidRPr="004B57E1" w:rsidRDefault="00060F39" w:rsidP="00A50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RI works in the following sectors; Education; Economic Opportunity; Water, Sanitation and Hygiene; and Health and Nutrition. </w:t>
      </w:r>
    </w:p>
    <w:p w:rsidR="004B57E1" w:rsidRPr="004B57E1" w:rsidRDefault="001A5EB8" w:rsidP="00A50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RI Sudan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 xml:space="preserve"> office is seeking to procure external audit services</w:t>
      </w:r>
      <w:r w:rsidR="00D819F7" w:rsidRPr="004B57E1">
        <w:rPr>
          <w:rFonts w:eastAsia="Times New Roman" w:cstheme="minorHAnsi"/>
          <w:color w:val="000000"/>
          <w:shd w:val="clear" w:color="auto" w:fill="FFFFFF"/>
        </w:rPr>
        <w:t xml:space="preserve"> as per Government of Sudan mandatory requirement</w:t>
      </w:r>
      <w:r w:rsidR="004B57E1" w:rsidRPr="004B57E1">
        <w:rPr>
          <w:rFonts w:eastAsia="Times New Roman" w:cstheme="minorHAnsi"/>
          <w:color w:val="000000"/>
          <w:shd w:val="clear" w:color="auto" w:fill="FFFFFF"/>
        </w:rPr>
        <w:t>,</w:t>
      </w:r>
      <w:r w:rsidR="00D819F7" w:rsidRPr="004B57E1">
        <w:rPr>
          <w:rFonts w:eastAsia="Times New Roman" w:cstheme="minorHAnsi"/>
          <w:color w:val="000000"/>
          <w:shd w:val="clear" w:color="auto" w:fill="FFFFFF"/>
        </w:rPr>
        <w:t xml:space="preserve"> for extension of country </w:t>
      </w:r>
      <w:r w:rsidR="00090FB5" w:rsidRPr="004B57E1">
        <w:rPr>
          <w:rFonts w:eastAsia="Times New Roman" w:cstheme="minorHAnsi"/>
          <w:color w:val="000000"/>
          <w:shd w:val="clear" w:color="auto" w:fill="FFFFFF"/>
        </w:rPr>
        <w:t>registration</w:t>
      </w:r>
      <w:r w:rsidR="004B57E1" w:rsidRPr="004B57E1">
        <w:rPr>
          <w:rFonts w:eastAsia="Times New Roman" w:cstheme="minorHAnsi"/>
          <w:color w:val="000000"/>
          <w:shd w:val="clear" w:color="auto" w:fill="FFFFFF"/>
        </w:rPr>
        <w:t>,</w:t>
      </w:r>
      <w:r w:rsidR="00FC7924" w:rsidRPr="004B57E1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4B57E1" w:rsidRPr="004B57E1">
        <w:rPr>
          <w:rFonts w:eastAsia="Times New Roman" w:cstheme="minorHAnsi"/>
          <w:color w:val="000000"/>
          <w:shd w:val="clear" w:color="auto" w:fill="FFFFFF"/>
        </w:rPr>
        <w:t>and</w:t>
      </w:r>
      <w:r w:rsidR="00090FB5" w:rsidRPr="004B57E1">
        <w:rPr>
          <w:rFonts w:eastAsia="Times New Roman" w:cstheme="minorHAnsi"/>
          <w:color w:val="000000"/>
          <w:shd w:val="clear" w:color="auto" w:fill="FFFFFF"/>
        </w:rPr>
        <w:t xml:space="preserve"> in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 xml:space="preserve"> order to obtain independent and objective assurance as to whether the financial</w:t>
      </w:r>
      <w:r w:rsidR="00C20497" w:rsidRPr="004B57E1">
        <w:rPr>
          <w:rFonts w:eastAsia="Times New Roman" w:cstheme="minorHAnsi"/>
          <w:color w:val="000000"/>
          <w:shd w:val="clear" w:color="auto" w:fill="FFFFFF"/>
        </w:rPr>
        <w:t xml:space="preserve"> statements of RI Sudan 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>present fairly, in all material respects</w:t>
      </w:r>
      <w:r w:rsidR="004B57E1" w:rsidRPr="004B57E1">
        <w:rPr>
          <w:rFonts w:eastAsia="Times New Roman" w:cstheme="minorHAnsi"/>
          <w:color w:val="000000"/>
          <w:shd w:val="clear" w:color="auto" w:fill="FFFFFF"/>
        </w:rPr>
        <w:t>. T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 xml:space="preserve">he financial position of RI in accordance with the International Standard on </w:t>
      </w:r>
      <w:r w:rsidR="004B57E1" w:rsidRPr="004B57E1">
        <w:rPr>
          <w:rFonts w:eastAsia="Times New Roman" w:cstheme="minorHAnsi"/>
          <w:color w:val="000000"/>
          <w:shd w:val="clear" w:color="auto" w:fill="FFFFFF"/>
        </w:rPr>
        <w:t>auditing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 xml:space="preserve"> (</w:t>
      </w:r>
      <w:proofErr w:type="spellStart"/>
      <w:r w:rsidR="00060F39" w:rsidRPr="004B57E1">
        <w:rPr>
          <w:rFonts w:eastAsia="Times New Roman" w:cstheme="minorHAnsi"/>
          <w:color w:val="000000"/>
          <w:shd w:val="clear" w:color="auto" w:fill="FFFFFF"/>
        </w:rPr>
        <w:t>lSA</w:t>
      </w:r>
      <w:proofErr w:type="spellEnd"/>
      <w:r w:rsidR="00060F39" w:rsidRPr="004B57E1">
        <w:rPr>
          <w:rFonts w:eastAsia="Times New Roman" w:cstheme="minorHAnsi"/>
          <w:color w:val="000000"/>
          <w:shd w:val="clear" w:color="auto" w:fill="FFFFFF"/>
        </w:rPr>
        <w:t>) promulgated by the IFAC and the Code of Ethics for Professional Accountants.</w:t>
      </w:r>
    </w:p>
    <w:p w:rsidR="004B57E1" w:rsidRPr="004B57E1" w:rsidRDefault="004B57E1" w:rsidP="00A5021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The audit</w:t>
      </w:r>
      <w:r w:rsidR="00A50212">
        <w:rPr>
          <w:rFonts w:eastAsia="Times New Roman" w:cstheme="minorHAnsi"/>
          <w:color w:val="000000"/>
          <w:shd w:val="clear" w:color="auto" w:fill="FFFFFF"/>
        </w:rPr>
        <w:t xml:space="preserve"> firm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shall </w:t>
      </w:r>
      <w:r w:rsidR="00A50212">
        <w:rPr>
          <w:rFonts w:eastAsia="Times New Roman" w:cstheme="minorHAnsi"/>
          <w:color w:val="000000"/>
          <w:shd w:val="clear" w:color="auto" w:fill="FFFFFF"/>
        </w:rPr>
        <w:t>report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in two documents, which includes an audit opinion in the submitted Auditor’s report and Management letter describing the scope of the audit and factual findings.</w:t>
      </w:r>
    </w:p>
    <w:p w:rsidR="004B57E1" w:rsidRPr="004B57E1" w:rsidRDefault="004B57E1" w:rsidP="00A502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60F39" w:rsidRPr="00A50212" w:rsidRDefault="00060F39" w:rsidP="00A50212">
      <w:pPr>
        <w:pStyle w:val="ListParagraph"/>
        <w:numPr>
          <w:ilvl w:val="0"/>
          <w:numId w:val="10"/>
        </w:numPr>
        <w:spacing w:line="240" w:lineRule="auto"/>
        <w:jc w:val="both"/>
        <w:rPr>
          <w:b/>
          <w:color w:val="1F4E79" w:themeColor="accent1" w:themeShade="80"/>
          <w:u w:val="single"/>
          <w:shd w:val="clear" w:color="auto" w:fill="FFFFFF"/>
        </w:rPr>
      </w:pPr>
      <w:r w:rsidRPr="00A50212">
        <w:rPr>
          <w:b/>
          <w:color w:val="1F4E79" w:themeColor="accent1" w:themeShade="80"/>
          <w:u w:val="single"/>
          <w:shd w:val="clear" w:color="auto" w:fill="FFFFFF"/>
        </w:rPr>
        <w:t>Scope of Assignment</w:t>
      </w: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17"/>
          <w:szCs w:val="17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Annual Activities:</w:t>
      </w:r>
    </w:p>
    <w:p w:rsidR="00060F39" w:rsidRPr="004B57E1" w:rsidRDefault="00060F39" w:rsidP="00A50212">
      <w:pPr>
        <w:numPr>
          <w:ilvl w:val="0"/>
          <w:numId w:val="1"/>
        </w:numPr>
        <w:spacing w:after="0" w:line="240" w:lineRule="auto"/>
        <w:ind w:left="1200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Perform statut</w:t>
      </w:r>
      <w:r w:rsidR="0010353B" w:rsidRPr="004B57E1">
        <w:rPr>
          <w:rFonts w:eastAsia="Times New Roman" w:cstheme="minorHAnsi"/>
          <w:color w:val="000000"/>
          <w:shd w:val="clear" w:color="auto" w:fill="FFFFFF"/>
        </w:rPr>
        <w:t xml:space="preserve">ory audits as required by Government of </w:t>
      </w:r>
      <w:r w:rsidR="00A50212" w:rsidRPr="004B57E1">
        <w:rPr>
          <w:rFonts w:eastAsia="Times New Roman" w:cstheme="minorHAnsi"/>
          <w:color w:val="000000"/>
          <w:shd w:val="clear" w:color="auto" w:fill="FFFFFF"/>
        </w:rPr>
        <w:t>Sudan (</w:t>
      </w:r>
      <w:r w:rsidR="001E0776" w:rsidRPr="004B57E1">
        <w:rPr>
          <w:rFonts w:eastAsia="Times New Roman" w:cstheme="minorHAnsi"/>
          <w:color w:val="000000"/>
          <w:shd w:val="clear" w:color="auto" w:fill="FFFFFF"/>
        </w:rPr>
        <w:t>GOS)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law and in accordance with the International Standard on Auditing (lSA</w:t>
      </w:r>
      <w:r w:rsidR="006F1AD7" w:rsidRPr="004B57E1">
        <w:rPr>
          <w:rFonts w:eastAsia="Times New Roman" w:cstheme="minorHAnsi"/>
          <w:color w:val="000000"/>
          <w:shd w:val="clear" w:color="auto" w:fill="FFFFFF"/>
        </w:rPr>
        <w:t>).</w:t>
      </w:r>
    </w:p>
    <w:p w:rsidR="00F20851" w:rsidRPr="004B57E1" w:rsidRDefault="00F20851" w:rsidP="00A50212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 xml:space="preserve">Compile and submit audit </w:t>
      </w:r>
      <w:r w:rsidR="00644131" w:rsidRPr="004B57E1">
        <w:rPr>
          <w:rFonts w:eastAsia="Times New Roman" w:cstheme="minorHAnsi"/>
          <w:color w:val="000000"/>
          <w:shd w:val="clear" w:color="auto" w:fill="FFFFFF"/>
        </w:rPr>
        <w:t>report.</w:t>
      </w:r>
    </w:p>
    <w:p w:rsidR="00D1109A" w:rsidRPr="004B57E1" w:rsidRDefault="00D1109A" w:rsidP="00A50212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In addition to audit report prepare separate letter concerning any material weakness in accounting and internal control which comes in auditor notice.</w:t>
      </w:r>
    </w:p>
    <w:p w:rsidR="00D1109A" w:rsidRPr="004B57E1" w:rsidRDefault="00D1109A" w:rsidP="00A50212">
      <w:pPr>
        <w:numPr>
          <w:ilvl w:val="0"/>
          <w:numId w:val="1"/>
        </w:numPr>
        <w:spacing w:before="100" w:beforeAutospacing="1" w:after="100" w:afterAutospacing="1" w:line="240" w:lineRule="auto"/>
        <w:ind w:left="1200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 xml:space="preserve">Audit firm to prepare reply to the notices issued by Humanitarian aid </w:t>
      </w:r>
      <w:r w:rsidR="00A50212" w:rsidRPr="004B57E1">
        <w:rPr>
          <w:rFonts w:eastAsia="Times New Roman" w:cstheme="minorHAnsi"/>
          <w:color w:val="000000"/>
          <w:shd w:val="clear" w:color="auto" w:fill="FFFFFF"/>
        </w:rPr>
        <w:t>commission (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HAC) or any relevant </w:t>
      </w:r>
      <w:r w:rsidR="00862E96" w:rsidRPr="004B57E1">
        <w:rPr>
          <w:rFonts w:eastAsia="Times New Roman" w:cstheme="minorHAnsi"/>
          <w:color w:val="000000"/>
          <w:shd w:val="clear" w:color="auto" w:fill="FFFFFF"/>
        </w:rPr>
        <w:t>Government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of Sudan (GOS) authority regarding financial statements. </w:t>
      </w: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Location of Operation:</w:t>
      </w:r>
    </w:p>
    <w:p w:rsidR="00060F39" w:rsidRPr="00A50212" w:rsidRDefault="004B57E1" w:rsidP="00A5021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50212">
        <w:rPr>
          <w:rFonts w:eastAsia="Times New Roman" w:cstheme="minorHAnsi"/>
          <w:color w:val="000000"/>
          <w:shd w:val="clear" w:color="auto" w:fill="FFFFFF"/>
        </w:rPr>
        <w:t>The Sudan office is base</w:t>
      </w:r>
      <w:r w:rsidR="007325B8" w:rsidRPr="00A50212">
        <w:rPr>
          <w:rFonts w:eastAsia="Times New Roman" w:cstheme="minorHAnsi"/>
          <w:color w:val="000000"/>
          <w:shd w:val="clear" w:color="auto" w:fill="FFFFFF"/>
        </w:rPr>
        <w:t xml:space="preserve"> in Khartoum</w:t>
      </w:r>
      <w:r w:rsidR="00060F39" w:rsidRPr="00A50212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3865B9" w:rsidRPr="00A50212">
        <w:rPr>
          <w:rFonts w:eastAsia="Times New Roman" w:cstheme="minorHAnsi"/>
          <w:color w:val="000000"/>
          <w:shd w:val="clear" w:color="auto" w:fill="FFFFFF"/>
        </w:rPr>
        <w:t>and operates</w:t>
      </w:r>
      <w:r w:rsidR="00060F39" w:rsidRPr="00A50212">
        <w:rPr>
          <w:rFonts w:eastAsia="Times New Roman" w:cstheme="minorHAnsi"/>
          <w:color w:val="000000"/>
          <w:shd w:val="clear" w:color="auto" w:fill="FFFFFF"/>
        </w:rPr>
        <w:t xml:space="preserve"> in</w:t>
      </w:r>
      <w:r w:rsidR="00106AB5" w:rsidRPr="00A50212">
        <w:rPr>
          <w:rFonts w:eastAsia="Times New Roman" w:cstheme="minorHAnsi"/>
          <w:color w:val="000000"/>
          <w:shd w:val="clear" w:color="auto" w:fill="FFFFFF"/>
        </w:rPr>
        <w:t xml:space="preserve"> the following </w:t>
      </w:r>
      <w:r w:rsidR="00D37A5A" w:rsidRPr="00A50212">
        <w:rPr>
          <w:rFonts w:eastAsia="Times New Roman" w:cstheme="minorHAnsi"/>
          <w:color w:val="000000"/>
          <w:shd w:val="clear" w:color="auto" w:fill="FFFFFF"/>
        </w:rPr>
        <w:t xml:space="preserve">field </w:t>
      </w:r>
      <w:r w:rsidR="00106AB5" w:rsidRPr="00A50212">
        <w:rPr>
          <w:rFonts w:eastAsia="Times New Roman" w:cstheme="minorHAnsi"/>
          <w:color w:val="000000"/>
          <w:shd w:val="clear" w:color="auto" w:fill="FFFFFF"/>
        </w:rPr>
        <w:t>locations North Darfur and Blue Nile.</w:t>
      </w:r>
    </w:p>
    <w:p w:rsidR="00A50212" w:rsidRDefault="00A50212" w:rsidP="00A502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50212" w:rsidRPr="00A50212" w:rsidRDefault="00A50212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Period of Performance</w:t>
      </w:r>
    </w:p>
    <w:p w:rsidR="00A50212" w:rsidRPr="00A50212" w:rsidRDefault="00A50212" w:rsidP="00A5021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A50212">
        <w:rPr>
          <w:rFonts w:eastAsia="Times New Roman" w:cstheme="minorHAnsi"/>
          <w:color w:val="000000"/>
          <w:shd w:val="clear" w:color="auto" w:fill="FFFFFF"/>
        </w:rPr>
        <w:t xml:space="preserve">RI is looking to engage the firm for at least three years </w:t>
      </w:r>
    </w:p>
    <w:p w:rsidR="00A50212" w:rsidRPr="004B57E1" w:rsidRDefault="00A50212" w:rsidP="00A502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60F39" w:rsidRPr="00A50212" w:rsidRDefault="00060F39" w:rsidP="00A50212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color w:val="1F4E79" w:themeColor="accent1" w:themeShade="80"/>
          <w:u w:val="single"/>
          <w:shd w:val="clear" w:color="auto" w:fill="FFFFFF"/>
        </w:rPr>
      </w:pPr>
      <w:r w:rsidRPr="00A50212">
        <w:rPr>
          <w:b/>
          <w:color w:val="1F4E79" w:themeColor="accent1" w:themeShade="80"/>
          <w:u w:val="single"/>
          <w:shd w:val="clear" w:color="auto" w:fill="FFFFFF"/>
        </w:rPr>
        <w:t>Requirements</w:t>
      </w: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Eligibility criteria</w:t>
      </w:r>
    </w:p>
    <w:p w:rsidR="00060F39" w:rsidRPr="004B57E1" w:rsidRDefault="00060F39" w:rsidP="00A50212">
      <w:pPr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Firms seeking to app</w:t>
      </w:r>
      <w:r w:rsidR="002E6F2C" w:rsidRPr="004B57E1">
        <w:rPr>
          <w:rFonts w:eastAsia="Times New Roman" w:cstheme="minorHAnsi"/>
          <w:color w:val="000000"/>
          <w:shd w:val="clear" w:color="auto" w:fill="FFFFFF"/>
        </w:rPr>
        <w:t>ly should be registered in Sudan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and must have been in op</w:t>
      </w:r>
      <w:r w:rsidR="0021069F" w:rsidRPr="004B57E1">
        <w:rPr>
          <w:rFonts w:eastAsia="Times New Roman" w:cstheme="minorHAnsi"/>
          <w:color w:val="000000"/>
          <w:shd w:val="clear" w:color="auto" w:fill="FFFFFF"/>
        </w:rPr>
        <w:t>eration at least for the last 7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years providing both audit and tax services. Additionally, the firm must demonstrate experience in the audit of not for profit entities and organizations with similar registration to RI.</w:t>
      </w:r>
    </w:p>
    <w:p w:rsidR="00060F39" w:rsidRPr="004B57E1" w:rsidRDefault="00060F39" w:rsidP="00A5021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The following information should be provided:</w:t>
      </w:r>
    </w:p>
    <w:p w:rsidR="00060F39" w:rsidRPr="004B57E1" w:rsidRDefault="00060F39" w:rsidP="00A502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Certificate of incorporation/registration</w:t>
      </w:r>
    </w:p>
    <w:p w:rsidR="00060F39" w:rsidRPr="004B57E1" w:rsidRDefault="00C42018" w:rsidP="00A502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lastRenderedPageBreak/>
        <w:t>Tax</w:t>
      </w:r>
      <w:r w:rsidR="00060F39" w:rsidRPr="004B57E1">
        <w:rPr>
          <w:rFonts w:eastAsia="Times New Roman" w:cstheme="minorHAnsi"/>
          <w:color w:val="000000"/>
          <w:shd w:val="clear" w:color="auto" w:fill="FFFFFF"/>
        </w:rPr>
        <w:t xml:space="preserve"> Certificate</w:t>
      </w:r>
    </w:p>
    <w:p w:rsidR="00060F39" w:rsidRPr="004B57E1" w:rsidRDefault="00060F39" w:rsidP="00A502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VAT Certificate</w:t>
      </w:r>
    </w:p>
    <w:p w:rsidR="00060F39" w:rsidRPr="004B57E1" w:rsidRDefault="00060F39" w:rsidP="00A502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Certificate of g</w:t>
      </w:r>
      <w:r w:rsidR="00402BD1" w:rsidRPr="004B57E1">
        <w:rPr>
          <w:rFonts w:eastAsia="Times New Roman" w:cstheme="minorHAnsi"/>
          <w:color w:val="000000"/>
          <w:shd w:val="clear" w:color="auto" w:fill="FFFFFF"/>
        </w:rPr>
        <w:t>ood standing from the Sudanese Accountancy and Audit Profession Organization Council (SAAPOC)</w:t>
      </w:r>
    </w:p>
    <w:p w:rsidR="00060F39" w:rsidRPr="004B57E1" w:rsidRDefault="00060F39" w:rsidP="00A502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List of at least three clients with registration similar to RI’s</w:t>
      </w: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Capability</w:t>
      </w:r>
    </w:p>
    <w:p w:rsidR="00060F39" w:rsidRPr="004B57E1" w:rsidRDefault="00060F39" w:rsidP="00A50212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Provide a brief about the firm. This must include a profile on past work done for clients with not-for-p</w:t>
      </w:r>
      <w:r w:rsidR="00982C23" w:rsidRPr="004B57E1">
        <w:rPr>
          <w:rFonts w:eastAsia="Times New Roman" w:cstheme="minorHAnsi"/>
          <w:color w:val="000000"/>
          <w:shd w:val="clear" w:color="auto" w:fill="FFFFFF"/>
        </w:rPr>
        <w:t>rofit status operating in Sudan.</w:t>
      </w:r>
    </w:p>
    <w:p w:rsidR="00060F39" w:rsidRPr="004B57E1" w:rsidRDefault="00060F39" w:rsidP="00A502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Provide a profile of the audit services team likely to be involved in the audit process.</w:t>
      </w: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Methodology</w:t>
      </w:r>
    </w:p>
    <w:p w:rsidR="00A50212" w:rsidRDefault="00060F39" w:rsidP="00A5021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The firm should state the methodology/approach of conducting the audits. Upon selection, the firm</w:t>
      </w:r>
      <w:r w:rsidR="00A50212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expected to provide a letter of </w:t>
      </w:r>
      <w:r w:rsidR="00A50212" w:rsidRPr="004B57E1">
        <w:rPr>
          <w:rFonts w:eastAsia="Times New Roman" w:cstheme="minorHAnsi"/>
          <w:color w:val="000000"/>
          <w:shd w:val="clear" w:color="auto" w:fill="FFFFFF"/>
        </w:rPr>
        <w:t>engagement, which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will also highlight the basis of the auditor’s work.</w:t>
      </w:r>
    </w:p>
    <w:p w:rsidR="00A50212" w:rsidRDefault="00A50212" w:rsidP="00A50212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</w:p>
    <w:p w:rsidR="00A50212" w:rsidRPr="00A50212" w:rsidRDefault="00A50212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Reporting</w:t>
      </w:r>
    </w:p>
    <w:p w:rsidR="00A50212" w:rsidRDefault="00A50212" w:rsidP="00A50212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Relief </w:t>
      </w:r>
      <w:r w:rsidRPr="00716ED8">
        <w:rPr>
          <w:rFonts w:ascii="Helvetica" w:hAnsi="Helvetica"/>
          <w:sz w:val="20"/>
          <w:szCs w:val="20"/>
        </w:rPr>
        <w:t xml:space="preserve">International Sudan will </w:t>
      </w:r>
      <w:r>
        <w:rPr>
          <w:rFonts w:ascii="Helvetica" w:hAnsi="Helvetica"/>
          <w:sz w:val="20"/>
          <w:szCs w:val="20"/>
        </w:rPr>
        <w:t xml:space="preserve">submit </w:t>
      </w:r>
      <w:r w:rsidRPr="00716ED8">
        <w:rPr>
          <w:rFonts w:ascii="Helvetica" w:hAnsi="Helvetica"/>
          <w:sz w:val="20"/>
          <w:szCs w:val="20"/>
        </w:rPr>
        <w:t>the Auditor's Report to the Humanitarian Affairs Commissioner (HAC) and Donors in Sudan</w:t>
      </w:r>
      <w:r>
        <w:rPr>
          <w:rFonts w:ascii="Helvetica" w:hAnsi="Helvetica"/>
          <w:sz w:val="20"/>
          <w:szCs w:val="20"/>
        </w:rPr>
        <w:t xml:space="preserve">. </w:t>
      </w:r>
      <w:r w:rsidRPr="00716ED8">
        <w:rPr>
          <w:rFonts w:ascii="Helvetica" w:hAnsi="Helvetica"/>
          <w:sz w:val="20"/>
          <w:szCs w:val="20"/>
        </w:rPr>
        <w:t xml:space="preserve">The report should be in English. </w:t>
      </w:r>
    </w:p>
    <w:p w:rsidR="00A50212" w:rsidRPr="00716ED8" w:rsidRDefault="00A50212" w:rsidP="00A50212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Proposed Fees</w:t>
      </w:r>
    </w:p>
    <w:p w:rsidR="00060F39" w:rsidRDefault="00060F39" w:rsidP="00A50212">
      <w:pPr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The firm should provide a quote for the provision of audit services as highlighted above. This should include proje</w:t>
      </w:r>
      <w:r w:rsidR="00FC3DD4" w:rsidRPr="004B57E1">
        <w:rPr>
          <w:rFonts w:eastAsia="Times New Roman" w:cstheme="minorHAnsi"/>
          <w:color w:val="000000"/>
          <w:shd w:val="clear" w:color="auto" w:fill="FFFFFF"/>
        </w:rPr>
        <w:t>cted fees for the subsequent three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years.</w:t>
      </w:r>
    </w:p>
    <w:p w:rsidR="00A50212" w:rsidRPr="004B57E1" w:rsidRDefault="00A50212" w:rsidP="00A50212">
      <w:pPr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</w:p>
    <w:p w:rsidR="00060F39" w:rsidRPr="00A50212" w:rsidRDefault="00060F39" w:rsidP="00A502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</w:pPr>
      <w:r w:rsidRPr="00A50212">
        <w:rPr>
          <w:rFonts w:eastAsia="Times New Roman" w:cstheme="minorHAnsi"/>
          <w:b/>
          <w:bCs/>
          <w:color w:val="1F4E79" w:themeColor="accent1" w:themeShade="80"/>
          <w:shd w:val="clear" w:color="auto" w:fill="FFFFFF"/>
        </w:rPr>
        <w:t>Instructions for submission</w:t>
      </w:r>
    </w:p>
    <w:p w:rsidR="00060F39" w:rsidRDefault="00060F39" w:rsidP="00A50212">
      <w:pPr>
        <w:spacing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4B57E1">
        <w:rPr>
          <w:rFonts w:eastAsia="Times New Roman" w:cstheme="minorHAnsi"/>
          <w:color w:val="000000"/>
          <w:shd w:val="clear" w:color="auto" w:fill="FFFFFF"/>
        </w:rPr>
        <w:t>All proposals</w:t>
      </w:r>
      <w:r w:rsidR="007119DE">
        <w:rPr>
          <w:rFonts w:eastAsia="Times New Roman" w:cstheme="minorHAnsi"/>
          <w:color w:val="000000"/>
          <w:shd w:val="clear" w:color="auto" w:fill="FFFFFF"/>
        </w:rPr>
        <w:t xml:space="preserve"> (technical and financial) along with registration form and details of firm BOD – Board of director / key positions</w:t>
      </w:r>
      <w:r w:rsidRPr="004B57E1">
        <w:rPr>
          <w:rFonts w:eastAsia="Times New Roman" w:cstheme="minorHAnsi"/>
          <w:color w:val="000000"/>
          <w:shd w:val="clear" w:color="auto" w:fill="FFFFFF"/>
        </w:rPr>
        <w:t xml:space="preserve"> should submitted by </w:t>
      </w:r>
      <w:r w:rsidR="00A50212">
        <w:rPr>
          <w:rFonts w:eastAsia="Times New Roman" w:cstheme="minorHAnsi"/>
          <w:color w:val="000000"/>
          <w:shd w:val="clear" w:color="auto" w:fill="FFFFFF"/>
        </w:rPr>
        <w:t xml:space="preserve">December 01, 2021 at the given address. In case of any security, concern within the Khartoum city while considering the current situation the proposals </w:t>
      </w:r>
      <w:r w:rsidR="007119DE">
        <w:rPr>
          <w:rFonts w:eastAsia="Times New Roman" w:cstheme="minorHAnsi"/>
          <w:color w:val="000000"/>
          <w:shd w:val="clear" w:color="auto" w:fill="FFFFFF"/>
        </w:rPr>
        <w:t xml:space="preserve">via </w:t>
      </w:r>
      <w:r w:rsidR="00A50212">
        <w:rPr>
          <w:rFonts w:eastAsia="Times New Roman" w:cstheme="minorHAnsi"/>
          <w:color w:val="000000"/>
          <w:shd w:val="clear" w:color="auto" w:fill="FFFFFF"/>
        </w:rPr>
        <w:t xml:space="preserve">email </w:t>
      </w:r>
      <w:r w:rsidR="007119DE">
        <w:rPr>
          <w:rFonts w:eastAsia="Times New Roman" w:cstheme="minorHAnsi"/>
          <w:color w:val="000000"/>
          <w:shd w:val="clear" w:color="auto" w:fill="FFFFFF"/>
        </w:rPr>
        <w:t>also accepted</w:t>
      </w:r>
      <w:r w:rsidR="00A50212">
        <w:rPr>
          <w:rFonts w:eastAsia="Times New Roman" w:cstheme="minorHAnsi"/>
          <w:color w:val="000000"/>
          <w:shd w:val="clear" w:color="auto" w:fill="FFFFFF"/>
        </w:rPr>
        <w:t xml:space="preserve">. </w:t>
      </w:r>
    </w:p>
    <w:p w:rsidR="007119DE" w:rsidRPr="007119DE" w:rsidRDefault="007119DE" w:rsidP="007119DE">
      <w:pPr>
        <w:spacing w:after="0"/>
        <w:jc w:val="center"/>
        <w:rPr>
          <w:b/>
          <w:sz w:val="24"/>
          <w:u w:val="single"/>
        </w:rPr>
      </w:pPr>
      <w:r w:rsidRPr="007119DE">
        <w:rPr>
          <w:b/>
          <w:sz w:val="24"/>
          <w:highlight w:val="yellow"/>
          <w:u w:val="single"/>
        </w:rPr>
        <w:t xml:space="preserve">RI-SDN-KRT-021-134 </w:t>
      </w:r>
      <w:hyperlink r:id="rId5" w:history="1">
        <w:r w:rsidRPr="007119DE">
          <w:rPr>
            <w:b/>
            <w:sz w:val="24"/>
            <w:highlight w:val="yellow"/>
            <w:u w:val="single"/>
          </w:rPr>
          <w:t>Statutory Audit</w:t>
        </w:r>
      </w:hyperlink>
    </w:p>
    <w:p w:rsidR="007119DE" w:rsidRPr="007119DE" w:rsidRDefault="007119DE" w:rsidP="007119DE">
      <w:pPr>
        <w:spacing w:after="0"/>
        <w:jc w:val="center"/>
        <w:rPr>
          <w:b/>
          <w:sz w:val="24"/>
        </w:rPr>
      </w:pPr>
      <w:r w:rsidRPr="007119DE">
        <w:rPr>
          <w:b/>
          <w:sz w:val="24"/>
        </w:rPr>
        <w:t>Kashif Shafique</w:t>
      </w:r>
      <w:bookmarkStart w:id="0" w:name="_GoBack"/>
      <w:bookmarkEnd w:id="0"/>
    </w:p>
    <w:p w:rsidR="007119DE" w:rsidRPr="007119DE" w:rsidRDefault="007119DE" w:rsidP="007119DE">
      <w:pPr>
        <w:spacing w:after="0"/>
        <w:jc w:val="center"/>
        <w:rPr>
          <w:b/>
          <w:sz w:val="24"/>
        </w:rPr>
      </w:pPr>
      <w:r w:rsidRPr="007119DE">
        <w:rPr>
          <w:b/>
          <w:sz w:val="24"/>
        </w:rPr>
        <w:t>Deputy Country Director – Operations</w:t>
      </w:r>
    </w:p>
    <w:p w:rsidR="007119DE" w:rsidRPr="007119DE" w:rsidRDefault="007119DE" w:rsidP="007119DE">
      <w:pPr>
        <w:spacing w:after="0"/>
        <w:jc w:val="center"/>
        <w:rPr>
          <w:b/>
          <w:sz w:val="24"/>
        </w:rPr>
      </w:pPr>
      <w:r w:rsidRPr="007119DE">
        <w:rPr>
          <w:b/>
          <w:sz w:val="24"/>
        </w:rPr>
        <w:t xml:space="preserve">E-Mail: </w:t>
      </w:r>
      <w:hyperlink r:id="rId6" w:history="1">
        <w:r w:rsidRPr="007119DE">
          <w:rPr>
            <w:rStyle w:val="Hyperlink"/>
            <w:b/>
            <w:sz w:val="24"/>
          </w:rPr>
          <w:t>bid.sudan@ri.org</w:t>
        </w:r>
      </w:hyperlink>
    </w:p>
    <w:p w:rsidR="007119DE" w:rsidRPr="007119DE" w:rsidRDefault="007119DE" w:rsidP="007119DE">
      <w:pPr>
        <w:spacing w:after="0"/>
        <w:jc w:val="center"/>
        <w:rPr>
          <w:b/>
          <w:sz w:val="24"/>
        </w:rPr>
      </w:pPr>
      <w:proofErr w:type="spellStart"/>
      <w:r w:rsidRPr="007119DE">
        <w:rPr>
          <w:b/>
          <w:sz w:val="24"/>
        </w:rPr>
        <w:t>Amarat</w:t>
      </w:r>
      <w:proofErr w:type="spellEnd"/>
      <w:r w:rsidRPr="007119DE">
        <w:rPr>
          <w:b/>
          <w:sz w:val="24"/>
        </w:rPr>
        <w:t xml:space="preserve"> Area, St. No’ 3, Building No’ 29, Block 10/A, Khartoum State, 11111, Sudan State.</w:t>
      </w:r>
    </w:p>
    <w:p w:rsidR="007119DE" w:rsidRPr="004B57E1" w:rsidRDefault="007119DE" w:rsidP="00A50212">
      <w:pPr>
        <w:spacing w:after="100" w:afterAutospacing="1" w:line="240" w:lineRule="auto"/>
        <w:jc w:val="both"/>
        <w:rPr>
          <w:rFonts w:eastAsia="Times New Roman" w:cstheme="minorHAnsi"/>
          <w:color w:val="000000"/>
          <w:sz w:val="17"/>
          <w:szCs w:val="17"/>
        </w:rPr>
      </w:pPr>
    </w:p>
    <w:p w:rsidR="00477470" w:rsidRPr="004B57E1" w:rsidRDefault="00477470" w:rsidP="00A50212">
      <w:pPr>
        <w:spacing w:line="240" w:lineRule="auto"/>
        <w:jc w:val="both"/>
        <w:rPr>
          <w:rFonts w:cstheme="minorHAnsi"/>
        </w:rPr>
      </w:pPr>
    </w:p>
    <w:sectPr w:rsidR="00477470" w:rsidRPr="004B57E1" w:rsidSect="00A5021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modern"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5A9"/>
    <w:multiLevelType w:val="hybridMultilevel"/>
    <w:tmpl w:val="5EB264B2"/>
    <w:lvl w:ilvl="0" w:tplc="4BDCA5D4">
      <w:start w:val="1"/>
      <w:numFmt w:val="decimal"/>
      <w:lvlText w:val="%1."/>
      <w:lvlJc w:val="left"/>
      <w:pPr>
        <w:ind w:left="36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20D54"/>
    <w:multiLevelType w:val="multilevel"/>
    <w:tmpl w:val="271EF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A93470A"/>
    <w:multiLevelType w:val="hybridMultilevel"/>
    <w:tmpl w:val="FAAA0CC4"/>
    <w:lvl w:ilvl="0" w:tplc="BF14F2E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D62CC"/>
    <w:multiLevelType w:val="multilevel"/>
    <w:tmpl w:val="E0BAE2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4148B"/>
    <w:multiLevelType w:val="multilevel"/>
    <w:tmpl w:val="A1ACAB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36A71"/>
    <w:multiLevelType w:val="multilevel"/>
    <w:tmpl w:val="5F9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656E5"/>
    <w:multiLevelType w:val="multilevel"/>
    <w:tmpl w:val="A34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B3414"/>
    <w:multiLevelType w:val="multilevel"/>
    <w:tmpl w:val="66A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34BDA"/>
    <w:multiLevelType w:val="hybridMultilevel"/>
    <w:tmpl w:val="411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E1083"/>
    <w:multiLevelType w:val="multilevel"/>
    <w:tmpl w:val="73806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10" w15:restartNumberingAfterBreak="0">
    <w:nsid w:val="6CDD3931"/>
    <w:multiLevelType w:val="multilevel"/>
    <w:tmpl w:val="7F0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2769D"/>
    <w:multiLevelType w:val="multilevel"/>
    <w:tmpl w:val="5BEC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9"/>
    <w:rsid w:val="00023EF6"/>
    <w:rsid w:val="00060F39"/>
    <w:rsid w:val="0006237E"/>
    <w:rsid w:val="00090FB5"/>
    <w:rsid w:val="000D7FA3"/>
    <w:rsid w:val="0010353B"/>
    <w:rsid w:val="00106AB5"/>
    <w:rsid w:val="0019706F"/>
    <w:rsid w:val="001A5EB8"/>
    <w:rsid w:val="001E0776"/>
    <w:rsid w:val="0021069F"/>
    <w:rsid w:val="002E6F2C"/>
    <w:rsid w:val="003865B9"/>
    <w:rsid w:val="00402BD1"/>
    <w:rsid w:val="00477470"/>
    <w:rsid w:val="004B57E1"/>
    <w:rsid w:val="005A77B9"/>
    <w:rsid w:val="005A7F77"/>
    <w:rsid w:val="00644131"/>
    <w:rsid w:val="0065229D"/>
    <w:rsid w:val="006F1AD7"/>
    <w:rsid w:val="006F7922"/>
    <w:rsid w:val="007119DE"/>
    <w:rsid w:val="007325B8"/>
    <w:rsid w:val="00862E96"/>
    <w:rsid w:val="00982C23"/>
    <w:rsid w:val="00A109B0"/>
    <w:rsid w:val="00A50212"/>
    <w:rsid w:val="00A92DAB"/>
    <w:rsid w:val="00B112A0"/>
    <w:rsid w:val="00B65C99"/>
    <w:rsid w:val="00C20497"/>
    <w:rsid w:val="00C42018"/>
    <w:rsid w:val="00D1109A"/>
    <w:rsid w:val="00D37A5A"/>
    <w:rsid w:val="00D819F7"/>
    <w:rsid w:val="00F20851"/>
    <w:rsid w:val="00FC3DD4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382"/>
  <w15:chartTrackingRefBased/>
  <w15:docId w15:val="{2A0443A8-5400-43EA-B09B-C5F3CE2B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0F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9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B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.sudan@ri.org" TargetMode="External"/><Relationship Id="rId5" Type="http://schemas.openxmlformats.org/officeDocument/2006/relationships/hyperlink" Target="https://www.sudanbid.com/jobview.php?id=768&amp;s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Sultan   (RI/SUD)</dc:creator>
  <cp:keywords/>
  <dc:description/>
  <cp:lastModifiedBy>Kashif Shafique (RI/SUD)</cp:lastModifiedBy>
  <cp:revision>57</cp:revision>
  <dcterms:created xsi:type="dcterms:W3CDTF">2021-10-24T06:21:00Z</dcterms:created>
  <dcterms:modified xsi:type="dcterms:W3CDTF">2021-11-14T08:02:00Z</dcterms:modified>
</cp:coreProperties>
</file>